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5F" w:rsidRDefault="00E4135F" w:rsidP="00E4135F">
      <w:pPr>
        <w:spacing w:before="160" w:after="160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לקראת </w:t>
      </w:r>
      <w:r w:rsidR="000228C4" w:rsidRPr="00D83640">
        <w:rPr>
          <w:rFonts w:hint="cs"/>
          <w:b/>
          <w:bCs/>
          <w:sz w:val="32"/>
          <w:szCs w:val="32"/>
          <w:u w:val="single"/>
          <w:rtl/>
        </w:rPr>
        <w:t xml:space="preserve">בחירות ירוקות </w:t>
      </w:r>
      <w:r w:rsidR="000228C4">
        <w:rPr>
          <w:rFonts w:hint="cs"/>
          <w:b/>
          <w:bCs/>
          <w:sz w:val="32"/>
          <w:szCs w:val="32"/>
          <w:u w:val="single"/>
          <w:rtl/>
        </w:rPr>
        <w:t xml:space="preserve"> יותר </w:t>
      </w:r>
    </w:p>
    <w:p w:rsidR="00497F95" w:rsidRDefault="00497F95" w:rsidP="00E4135F">
      <w:pPr>
        <w:spacing w:before="160" w:after="240"/>
        <w:jc w:val="both"/>
        <w:rPr>
          <w:rFonts w:hint="cs"/>
          <w:sz w:val="28"/>
          <w:szCs w:val="28"/>
          <w:rtl/>
        </w:rPr>
      </w:pPr>
    </w:p>
    <w:p w:rsidR="004F4AAE" w:rsidRDefault="004F4AAE" w:rsidP="004F4AAE">
      <w:pPr>
        <w:rPr>
          <w:sz w:val="28"/>
          <w:szCs w:val="28"/>
          <w:rtl/>
        </w:rPr>
      </w:pPr>
      <w:r w:rsidRPr="00E4135F">
        <w:rPr>
          <w:rFonts w:hint="cs"/>
          <w:sz w:val="28"/>
          <w:szCs w:val="28"/>
          <w:u w:val="single"/>
          <w:rtl/>
        </w:rPr>
        <w:t xml:space="preserve">היחידה </w:t>
      </w:r>
      <w:r>
        <w:rPr>
          <w:rFonts w:hint="cs"/>
          <w:sz w:val="28"/>
          <w:szCs w:val="28"/>
          <w:u w:val="single"/>
          <w:rtl/>
        </w:rPr>
        <w:t xml:space="preserve">האזורית </w:t>
      </w:r>
      <w:bookmarkStart w:id="0" w:name="_GoBack"/>
      <w:bookmarkEnd w:id="0"/>
      <w:r w:rsidRPr="00E4135F">
        <w:rPr>
          <w:rFonts w:hint="cs"/>
          <w:sz w:val="28"/>
          <w:szCs w:val="28"/>
          <w:u w:val="single"/>
          <w:rtl/>
        </w:rPr>
        <w:t>לאיכות הסביבה קוראת למועמדים לבחירות המקומיות הקרובות לעמוד בעקרונות הבחירות ה</w:t>
      </w:r>
      <w:r>
        <w:rPr>
          <w:rFonts w:hint="cs"/>
          <w:sz w:val="28"/>
          <w:szCs w:val="28"/>
          <w:u w:val="single"/>
          <w:rtl/>
        </w:rPr>
        <w:t>ירוקות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!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</w:t>
      </w:r>
    </w:p>
    <w:p w:rsidR="000228C4" w:rsidRDefault="000228C4" w:rsidP="00E4135F">
      <w:pPr>
        <w:spacing w:before="160" w:after="2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</w:t>
      </w:r>
      <w:r w:rsidRPr="00D83640">
        <w:rPr>
          <w:rFonts w:hint="cs"/>
          <w:sz w:val="28"/>
          <w:szCs w:val="28"/>
          <w:rtl/>
        </w:rPr>
        <w:t xml:space="preserve">תקופה שלפני בחירות </w:t>
      </w:r>
      <w:r w:rsidR="00E4135F">
        <w:rPr>
          <w:rFonts w:hint="cs"/>
          <w:sz w:val="28"/>
          <w:szCs w:val="28"/>
          <w:rtl/>
        </w:rPr>
        <w:t xml:space="preserve">המקומיות, </w:t>
      </w:r>
      <w:r w:rsidRPr="00D83640">
        <w:rPr>
          <w:rFonts w:hint="cs"/>
          <w:sz w:val="28"/>
          <w:szCs w:val="28"/>
          <w:rtl/>
        </w:rPr>
        <w:t>נלקחים המרחבים</w:t>
      </w:r>
      <w:r w:rsidRPr="00D83640">
        <w:rPr>
          <w:sz w:val="28"/>
          <w:szCs w:val="28"/>
          <w:rtl/>
        </w:rPr>
        <w:t xml:space="preserve"> </w:t>
      </w:r>
      <w:r w:rsidRPr="00D83640">
        <w:rPr>
          <w:rFonts w:hint="cs"/>
          <w:sz w:val="28"/>
          <w:szCs w:val="28"/>
          <w:rtl/>
        </w:rPr>
        <w:t>הציבוריים</w:t>
      </w:r>
      <w:r w:rsidRPr="00D83640">
        <w:rPr>
          <w:sz w:val="28"/>
          <w:szCs w:val="28"/>
          <w:rtl/>
        </w:rPr>
        <w:t xml:space="preserve"> </w:t>
      </w:r>
      <w:r w:rsidRPr="00D83640">
        <w:rPr>
          <w:rFonts w:hint="cs"/>
          <w:sz w:val="28"/>
          <w:szCs w:val="28"/>
          <w:rtl/>
        </w:rPr>
        <w:t>בשטח</w:t>
      </w:r>
      <w:r w:rsidRPr="00D83640">
        <w:rPr>
          <w:sz w:val="28"/>
          <w:szCs w:val="28"/>
          <w:rtl/>
        </w:rPr>
        <w:t xml:space="preserve"> </w:t>
      </w:r>
      <w:r w:rsidRPr="00D83640">
        <w:rPr>
          <w:rFonts w:hint="cs"/>
          <w:sz w:val="28"/>
          <w:szCs w:val="28"/>
          <w:rtl/>
        </w:rPr>
        <w:t>הרשויות</w:t>
      </w:r>
      <w:r w:rsidRPr="00D83640">
        <w:rPr>
          <w:sz w:val="28"/>
          <w:szCs w:val="28"/>
          <w:rtl/>
        </w:rPr>
        <w:t xml:space="preserve"> </w:t>
      </w:r>
      <w:r w:rsidRPr="00284B8D">
        <w:rPr>
          <w:rFonts w:hint="cs"/>
          <w:sz w:val="28"/>
          <w:szCs w:val="28"/>
          <w:rtl/>
        </w:rPr>
        <w:t>כבני</w:t>
      </w:r>
      <w:r w:rsidRPr="00284B8D">
        <w:rPr>
          <w:sz w:val="28"/>
          <w:szCs w:val="28"/>
          <w:rtl/>
        </w:rPr>
        <w:t xml:space="preserve"> </w:t>
      </w:r>
      <w:r w:rsidRPr="00284B8D">
        <w:rPr>
          <w:rFonts w:hint="cs"/>
          <w:sz w:val="28"/>
          <w:szCs w:val="28"/>
          <w:rtl/>
        </w:rPr>
        <w:t>ערובה</w:t>
      </w:r>
      <w:r w:rsidRPr="00284B8D">
        <w:rPr>
          <w:sz w:val="28"/>
          <w:szCs w:val="28"/>
          <w:rtl/>
        </w:rPr>
        <w:t xml:space="preserve"> </w:t>
      </w:r>
      <w:r w:rsidRPr="00284B8D">
        <w:rPr>
          <w:rFonts w:hint="cs"/>
          <w:sz w:val="28"/>
          <w:szCs w:val="28"/>
          <w:rtl/>
        </w:rPr>
        <w:t>לתעמולת</w:t>
      </w:r>
      <w:r w:rsidRPr="00284B8D">
        <w:rPr>
          <w:sz w:val="28"/>
          <w:szCs w:val="28"/>
          <w:rtl/>
        </w:rPr>
        <w:t xml:space="preserve"> </w:t>
      </w:r>
      <w:r w:rsidRPr="00284B8D">
        <w:rPr>
          <w:rFonts w:hint="cs"/>
          <w:sz w:val="28"/>
          <w:szCs w:val="28"/>
          <w:rtl/>
        </w:rPr>
        <w:t>הבחירות</w:t>
      </w:r>
      <w:r w:rsidRPr="00284B8D">
        <w:rPr>
          <w:sz w:val="28"/>
          <w:szCs w:val="28"/>
          <w:rtl/>
        </w:rPr>
        <w:t xml:space="preserve"> </w:t>
      </w:r>
      <w:r w:rsidRPr="00284B8D">
        <w:rPr>
          <w:rFonts w:hint="cs"/>
          <w:sz w:val="28"/>
          <w:szCs w:val="28"/>
          <w:rtl/>
        </w:rPr>
        <w:t>ומשמשים</w:t>
      </w:r>
      <w:r w:rsidRPr="00284B8D">
        <w:rPr>
          <w:sz w:val="28"/>
          <w:szCs w:val="28"/>
          <w:rtl/>
        </w:rPr>
        <w:t xml:space="preserve"> </w:t>
      </w:r>
      <w:r w:rsidRPr="00284B8D">
        <w:rPr>
          <w:rFonts w:hint="cs"/>
          <w:sz w:val="28"/>
          <w:szCs w:val="28"/>
          <w:rtl/>
        </w:rPr>
        <w:t>כבמה</w:t>
      </w:r>
      <w:r w:rsidRPr="00284B8D">
        <w:rPr>
          <w:sz w:val="28"/>
          <w:szCs w:val="28"/>
          <w:rtl/>
        </w:rPr>
        <w:t xml:space="preserve"> </w:t>
      </w:r>
      <w:r w:rsidRPr="00284B8D">
        <w:rPr>
          <w:rFonts w:hint="cs"/>
          <w:sz w:val="28"/>
          <w:szCs w:val="28"/>
          <w:rtl/>
        </w:rPr>
        <w:t>לפרסום</w:t>
      </w:r>
      <w:r w:rsidRPr="00284B8D">
        <w:rPr>
          <w:sz w:val="28"/>
          <w:szCs w:val="28"/>
          <w:rtl/>
        </w:rPr>
        <w:t xml:space="preserve"> </w:t>
      </w:r>
      <w:r w:rsidRPr="00284B8D">
        <w:rPr>
          <w:rFonts w:hint="cs"/>
          <w:sz w:val="28"/>
          <w:szCs w:val="28"/>
          <w:rtl/>
        </w:rPr>
        <w:t>וקידום</w:t>
      </w:r>
      <w:r w:rsidRPr="00284B8D">
        <w:rPr>
          <w:sz w:val="28"/>
          <w:szCs w:val="28"/>
          <w:rtl/>
        </w:rPr>
        <w:t xml:space="preserve"> </w:t>
      </w:r>
      <w:r w:rsidRPr="00284B8D">
        <w:rPr>
          <w:rFonts w:hint="cs"/>
          <w:sz w:val="28"/>
          <w:szCs w:val="28"/>
          <w:rtl/>
        </w:rPr>
        <w:t>המועמדים</w:t>
      </w:r>
      <w:r w:rsidRPr="00284B8D">
        <w:rPr>
          <w:sz w:val="28"/>
          <w:szCs w:val="28"/>
          <w:rtl/>
        </w:rPr>
        <w:t xml:space="preserve"> </w:t>
      </w:r>
      <w:r w:rsidRPr="00284B8D">
        <w:rPr>
          <w:rFonts w:hint="cs"/>
          <w:sz w:val="28"/>
          <w:szCs w:val="28"/>
          <w:rtl/>
        </w:rPr>
        <w:t>לבחירות</w:t>
      </w:r>
      <w:r>
        <w:rPr>
          <w:rFonts w:hint="cs"/>
          <w:sz w:val="28"/>
          <w:szCs w:val="28"/>
          <w:rtl/>
        </w:rPr>
        <w:t xml:space="preserve"> וסיעותיהם</w:t>
      </w:r>
      <w:r w:rsidRPr="00D83640">
        <w:rPr>
          <w:sz w:val="28"/>
          <w:szCs w:val="28"/>
          <w:rtl/>
        </w:rPr>
        <w:t>.</w:t>
      </w:r>
    </w:p>
    <w:p w:rsidR="000228C4" w:rsidRPr="00284B8D" w:rsidRDefault="000228C4" w:rsidP="00E4135F">
      <w:pPr>
        <w:spacing w:before="160" w:after="240"/>
        <w:jc w:val="both"/>
        <w:rPr>
          <w:b/>
          <w:bCs/>
          <w:sz w:val="28"/>
          <w:szCs w:val="28"/>
          <w:rtl/>
        </w:rPr>
      </w:pPr>
      <w:r w:rsidRPr="00D83640">
        <w:rPr>
          <w:rFonts w:hint="cs"/>
          <w:sz w:val="28"/>
          <w:szCs w:val="28"/>
          <w:rtl/>
        </w:rPr>
        <w:t>כסף רב מושקע בקמפיין בחירות</w:t>
      </w:r>
      <w:r>
        <w:rPr>
          <w:rFonts w:hint="cs"/>
          <w:sz w:val="28"/>
          <w:szCs w:val="28"/>
          <w:rtl/>
        </w:rPr>
        <w:t xml:space="preserve"> של כל מועמד לרבות </w:t>
      </w:r>
      <w:r w:rsidRPr="00284B8D">
        <w:rPr>
          <w:rFonts w:hint="cs"/>
          <w:b/>
          <w:bCs/>
          <w:sz w:val="28"/>
          <w:szCs w:val="28"/>
          <w:rtl/>
        </w:rPr>
        <w:t>הדפסת שילוט וחומרי תעמולה</w:t>
      </w:r>
      <w:r w:rsidRPr="00D83640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מכיוון שחלק מחומר התעמולה מיועד לחלוקה ידנית לקהל הבוחרים, </w:t>
      </w:r>
      <w:r w:rsidRPr="00D836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מודפסת כמות עודפת של חומרי תעמולה. </w:t>
      </w:r>
      <w:r w:rsidRPr="00284B8D">
        <w:rPr>
          <w:rFonts w:hint="cs"/>
          <w:b/>
          <w:bCs/>
          <w:sz w:val="28"/>
          <w:szCs w:val="28"/>
          <w:rtl/>
        </w:rPr>
        <w:t>חומרים אלו מושלכים ברשות הרבים ביום הבחירות והחומר העודף שלא חולק, מושלך לפח עם סגירת הקלפיות.</w:t>
      </w:r>
    </w:p>
    <w:p w:rsidR="000228C4" w:rsidRDefault="000228C4" w:rsidP="00110177">
      <w:pPr>
        <w:spacing w:before="160" w:after="240"/>
        <w:rPr>
          <w:sz w:val="28"/>
          <w:szCs w:val="28"/>
          <w:rtl/>
        </w:rPr>
      </w:pPr>
      <w:r w:rsidRPr="00284B8D">
        <w:rPr>
          <w:rFonts w:hint="cs"/>
          <w:b/>
          <w:bCs/>
          <w:sz w:val="28"/>
          <w:szCs w:val="28"/>
          <w:rtl/>
        </w:rPr>
        <w:t>שילוט חוצות</w:t>
      </w:r>
      <w:r>
        <w:rPr>
          <w:rFonts w:hint="cs"/>
          <w:sz w:val="28"/>
          <w:szCs w:val="28"/>
          <w:rtl/>
        </w:rPr>
        <w:t xml:space="preserve">, גם הוא, מודפס בכמויות גדולות על מנת שיהיו לפעילים מספיק שלטים לתלות לאחר שיתלשו השלטים שכבר תלו, על ידי פעילי הסיעות המתחרות. </w:t>
      </w:r>
      <w:r w:rsidR="00110177">
        <w:rPr>
          <w:rFonts w:hint="cs"/>
          <w:sz w:val="28"/>
          <w:szCs w:val="28"/>
          <w:rtl/>
        </w:rPr>
        <w:t xml:space="preserve">                                   </w:t>
      </w:r>
      <w:r>
        <w:rPr>
          <w:rFonts w:hint="cs"/>
          <w:sz w:val="28"/>
          <w:szCs w:val="28"/>
          <w:rtl/>
        </w:rPr>
        <w:t>השילוט שנתלש (או מתעופף עקב תליה רשלנית) יושלך כלאחר יד ויהפוך למפגע לסביבה (אם לא ימצא את דרכו לכביש) ולמפגע תחבורתי מסוכן (כאשר ימצא את דרכו לכביש).</w:t>
      </w:r>
    </w:p>
    <w:p w:rsidR="000228C4" w:rsidRDefault="000228C4" w:rsidP="00E4135F">
      <w:pPr>
        <w:spacing w:before="160" w:after="2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עצים וגדרות בנקודות מפתח בשטח הרשות יצמיחו </w:t>
      </w:r>
      <w:r w:rsidRPr="00284B8D">
        <w:rPr>
          <w:rFonts w:hint="cs"/>
          <w:b/>
          <w:bCs/>
          <w:sz w:val="28"/>
          <w:szCs w:val="28"/>
          <w:rtl/>
        </w:rPr>
        <w:t>אזיקונים וחבלים</w:t>
      </w:r>
      <w:r>
        <w:rPr>
          <w:rFonts w:hint="cs"/>
          <w:sz w:val="28"/>
          <w:szCs w:val="28"/>
          <w:rtl/>
        </w:rPr>
        <w:t xml:space="preserve"> כתוצאה ממלחמות השילוט הנ"ל.</w:t>
      </w:r>
    </w:p>
    <w:p w:rsidR="000228C4" w:rsidRDefault="000228C4" w:rsidP="00E4135F">
      <w:pPr>
        <w:spacing w:before="160" w:after="2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מעבר לעלויות הפקת עודפי החומרים ועלויות פינויים להטמנה לאחר שהושלכו, הרשות המקומית משריינת תקציבים ניכרים לשיקום "נזקי סופת הבחירות". </w:t>
      </w:r>
    </w:p>
    <w:p w:rsidR="000228C4" w:rsidRPr="00D83640" w:rsidRDefault="000228C4" w:rsidP="000C55F3">
      <w:pPr>
        <w:spacing w:before="160" w:after="240"/>
        <w:ind w:left="720"/>
        <w:jc w:val="both"/>
        <w:rPr>
          <w:sz w:val="28"/>
          <w:szCs w:val="28"/>
          <w:rtl/>
        </w:rPr>
      </w:pPr>
      <w:r w:rsidRPr="00D83640">
        <w:rPr>
          <w:rFonts w:hint="cs"/>
          <w:sz w:val="28"/>
          <w:szCs w:val="28"/>
          <w:rtl/>
        </w:rPr>
        <w:t xml:space="preserve">לידיעתכם קיימים חוקים שונים </w:t>
      </w:r>
      <w:r>
        <w:rPr>
          <w:rFonts w:hint="cs"/>
          <w:sz w:val="28"/>
          <w:szCs w:val="28"/>
          <w:rtl/>
        </w:rPr>
        <w:t>ה</w:t>
      </w:r>
      <w:r w:rsidRPr="00D83640">
        <w:rPr>
          <w:rFonts w:hint="cs"/>
          <w:sz w:val="28"/>
          <w:szCs w:val="28"/>
          <w:rtl/>
        </w:rPr>
        <w:t xml:space="preserve">אוסרים </w:t>
      </w:r>
      <w:r>
        <w:rPr>
          <w:rFonts w:hint="cs"/>
          <w:sz w:val="28"/>
          <w:szCs w:val="28"/>
          <w:rtl/>
        </w:rPr>
        <w:t>את ה</w:t>
      </w:r>
      <w:r w:rsidRPr="00D83640">
        <w:rPr>
          <w:rFonts w:hint="cs"/>
          <w:sz w:val="28"/>
          <w:szCs w:val="28"/>
          <w:rtl/>
        </w:rPr>
        <w:t>תופע</w:t>
      </w:r>
      <w:r>
        <w:rPr>
          <w:rFonts w:hint="cs"/>
          <w:sz w:val="28"/>
          <w:szCs w:val="28"/>
          <w:rtl/>
        </w:rPr>
        <w:t>ות</w:t>
      </w:r>
      <w:r w:rsidRPr="00D836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הנ"ל</w:t>
      </w:r>
      <w:r w:rsidRPr="00D83640">
        <w:rPr>
          <w:rFonts w:hint="cs"/>
          <w:sz w:val="28"/>
          <w:szCs w:val="28"/>
          <w:rtl/>
        </w:rPr>
        <w:t>:</w:t>
      </w:r>
    </w:p>
    <w:p w:rsidR="000228C4" w:rsidRPr="00D83640" w:rsidRDefault="000228C4" w:rsidP="000C55F3">
      <w:pPr>
        <w:ind w:left="720"/>
        <w:jc w:val="both"/>
        <w:rPr>
          <w:sz w:val="28"/>
          <w:szCs w:val="28"/>
          <w:rtl/>
        </w:rPr>
      </w:pPr>
      <w:r w:rsidRPr="00D83640">
        <w:rPr>
          <w:rFonts w:hint="cs"/>
          <w:sz w:val="28"/>
          <w:szCs w:val="28"/>
          <w:rtl/>
        </w:rPr>
        <w:t>חוק</w:t>
      </w:r>
      <w:r w:rsidRPr="00D83640">
        <w:rPr>
          <w:sz w:val="28"/>
          <w:szCs w:val="28"/>
          <w:rtl/>
        </w:rPr>
        <w:t xml:space="preserve"> </w:t>
      </w:r>
      <w:r w:rsidRPr="00D83640">
        <w:rPr>
          <w:rFonts w:hint="cs"/>
          <w:sz w:val="28"/>
          <w:szCs w:val="28"/>
          <w:rtl/>
        </w:rPr>
        <w:t>שמירת</w:t>
      </w:r>
      <w:r w:rsidRPr="00D83640">
        <w:rPr>
          <w:sz w:val="28"/>
          <w:szCs w:val="28"/>
          <w:rtl/>
        </w:rPr>
        <w:t xml:space="preserve"> </w:t>
      </w:r>
      <w:r w:rsidRPr="00D83640">
        <w:rPr>
          <w:rFonts w:hint="cs"/>
          <w:sz w:val="28"/>
          <w:szCs w:val="28"/>
          <w:rtl/>
        </w:rPr>
        <w:t>הניקיון</w:t>
      </w:r>
      <w:r w:rsidRPr="00D83640">
        <w:rPr>
          <w:sz w:val="28"/>
          <w:szCs w:val="28"/>
          <w:rtl/>
        </w:rPr>
        <w:t xml:space="preserve">, </w:t>
      </w:r>
      <w:proofErr w:type="spellStart"/>
      <w:r w:rsidRPr="00D83640">
        <w:rPr>
          <w:rFonts w:hint="cs"/>
          <w:sz w:val="28"/>
          <w:szCs w:val="28"/>
          <w:rtl/>
        </w:rPr>
        <w:t>התשמ</w:t>
      </w:r>
      <w:r w:rsidRPr="00D83640">
        <w:rPr>
          <w:sz w:val="28"/>
          <w:szCs w:val="28"/>
          <w:rtl/>
        </w:rPr>
        <w:t>"</w:t>
      </w:r>
      <w:r w:rsidRPr="00D83640">
        <w:rPr>
          <w:rFonts w:hint="cs"/>
          <w:sz w:val="28"/>
          <w:szCs w:val="28"/>
          <w:rtl/>
        </w:rPr>
        <w:t>ד</w:t>
      </w:r>
      <w:proofErr w:type="spellEnd"/>
      <w:r w:rsidRPr="00D83640">
        <w:rPr>
          <w:sz w:val="28"/>
          <w:szCs w:val="28"/>
          <w:rtl/>
        </w:rPr>
        <w:t xml:space="preserve"> 1984</w:t>
      </w:r>
      <w:r w:rsidRPr="00D83640">
        <w:rPr>
          <w:rStyle w:val="a5"/>
          <w:sz w:val="28"/>
          <w:szCs w:val="28"/>
          <w:rtl/>
        </w:rPr>
        <w:footnoteReference w:id="1"/>
      </w:r>
    </w:p>
    <w:p w:rsidR="000228C4" w:rsidRPr="00D83640" w:rsidRDefault="000228C4" w:rsidP="000C55F3">
      <w:pPr>
        <w:ind w:left="720"/>
        <w:jc w:val="both"/>
        <w:rPr>
          <w:sz w:val="28"/>
          <w:szCs w:val="28"/>
          <w:rtl/>
        </w:rPr>
      </w:pPr>
      <w:r w:rsidRPr="00D83640">
        <w:rPr>
          <w:sz w:val="28"/>
          <w:szCs w:val="28"/>
          <w:rtl/>
        </w:rPr>
        <w:t xml:space="preserve">חוק הדרכים (שילוט), </w:t>
      </w:r>
      <w:proofErr w:type="spellStart"/>
      <w:r w:rsidRPr="00D83640">
        <w:rPr>
          <w:sz w:val="28"/>
          <w:szCs w:val="28"/>
          <w:rtl/>
        </w:rPr>
        <w:t>התשכ"ו</w:t>
      </w:r>
      <w:proofErr w:type="spellEnd"/>
      <w:r w:rsidRPr="00D83640">
        <w:rPr>
          <w:rFonts w:hint="cs"/>
          <w:sz w:val="28"/>
          <w:szCs w:val="28"/>
          <w:rtl/>
        </w:rPr>
        <w:t xml:space="preserve"> 1966</w:t>
      </w:r>
      <w:r w:rsidRPr="00D83640">
        <w:rPr>
          <w:rStyle w:val="a5"/>
          <w:sz w:val="28"/>
          <w:szCs w:val="28"/>
          <w:rtl/>
        </w:rPr>
        <w:footnoteReference w:id="2"/>
      </w:r>
    </w:p>
    <w:p w:rsidR="000228C4" w:rsidRPr="00D83640" w:rsidRDefault="000228C4" w:rsidP="000C55F3">
      <w:pPr>
        <w:ind w:left="720"/>
        <w:jc w:val="both"/>
        <w:rPr>
          <w:sz w:val="28"/>
          <w:szCs w:val="28"/>
          <w:rtl/>
        </w:rPr>
      </w:pPr>
      <w:r w:rsidRPr="00D83640">
        <w:rPr>
          <w:rFonts w:hint="cs"/>
          <w:sz w:val="28"/>
          <w:szCs w:val="28"/>
          <w:rtl/>
        </w:rPr>
        <w:t>חוק</w:t>
      </w:r>
      <w:r w:rsidRPr="00D83640">
        <w:rPr>
          <w:sz w:val="28"/>
          <w:szCs w:val="28"/>
          <w:rtl/>
        </w:rPr>
        <w:t xml:space="preserve"> </w:t>
      </w:r>
      <w:r w:rsidRPr="00D83640">
        <w:rPr>
          <w:rFonts w:hint="cs"/>
          <w:sz w:val="28"/>
          <w:szCs w:val="28"/>
          <w:rtl/>
        </w:rPr>
        <w:t>הבחירות</w:t>
      </w:r>
      <w:r w:rsidRPr="00D83640">
        <w:rPr>
          <w:sz w:val="28"/>
          <w:szCs w:val="28"/>
          <w:rtl/>
        </w:rPr>
        <w:t xml:space="preserve"> (</w:t>
      </w:r>
      <w:r w:rsidRPr="00D83640">
        <w:rPr>
          <w:rFonts w:hint="cs"/>
          <w:sz w:val="28"/>
          <w:szCs w:val="28"/>
          <w:rtl/>
        </w:rPr>
        <w:t>דרכי</w:t>
      </w:r>
      <w:r w:rsidRPr="00D83640">
        <w:rPr>
          <w:sz w:val="28"/>
          <w:szCs w:val="28"/>
          <w:rtl/>
        </w:rPr>
        <w:t xml:space="preserve"> </w:t>
      </w:r>
      <w:r w:rsidRPr="00D83640">
        <w:rPr>
          <w:rFonts w:hint="cs"/>
          <w:sz w:val="28"/>
          <w:szCs w:val="28"/>
          <w:rtl/>
        </w:rPr>
        <w:t>תעמולה</w:t>
      </w:r>
      <w:r w:rsidRPr="00D83640">
        <w:rPr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,</w:t>
      </w:r>
      <w:r w:rsidRPr="00D83640">
        <w:rPr>
          <w:sz w:val="28"/>
          <w:szCs w:val="28"/>
          <w:rtl/>
        </w:rPr>
        <w:t xml:space="preserve"> </w:t>
      </w:r>
      <w:r w:rsidRPr="00D83640">
        <w:rPr>
          <w:rFonts w:hint="cs"/>
          <w:sz w:val="28"/>
          <w:szCs w:val="28"/>
          <w:rtl/>
        </w:rPr>
        <w:t>תש</w:t>
      </w:r>
      <w:r w:rsidRPr="00D83640">
        <w:rPr>
          <w:sz w:val="28"/>
          <w:szCs w:val="28"/>
          <w:rtl/>
        </w:rPr>
        <w:t>"</w:t>
      </w:r>
      <w:r w:rsidRPr="00D83640">
        <w:rPr>
          <w:rFonts w:hint="cs"/>
          <w:sz w:val="28"/>
          <w:szCs w:val="28"/>
          <w:rtl/>
        </w:rPr>
        <w:t>ט</w:t>
      </w:r>
      <w:r w:rsidRPr="00D83640">
        <w:rPr>
          <w:sz w:val="28"/>
          <w:szCs w:val="28"/>
          <w:rtl/>
        </w:rPr>
        <w:t xml:space="preserve"> – 1959</w:t>
      </w:r>
      <w:r w:rsidRPr="00D83640">
        <w:rPr>
          <w:rStyle w:val="a5"/>
          <w:sz w:val="28"/>
          <w:szCs w:val="28"/>
          <w:rtl/>
        </w:rPr>
        <w:footnoteReference w:id="3"/>
      </w:r>
    </w:p>
    <w:p w:rsidR="000228C4" w:rsidRDefault="000228C4" w:rsidP="000C55F3">
      <w:pPr>
        <w:ind w:left="720"/>
        <w:jc w:val="both"/>
        <w:rPr>
          <w:sz w:val="28"/>
          <w:szCs w:val="28"/>
          <w:rtl/>
        </w:rPr>
      </w:pPr>
      <w:r w:rsidRPr="004C7124">
        <w:rPr>
          <w:rFonts w:hint="cs"/>
          <w:sz w:val="28"/>
          <w:szCs w:val="28"/>
          <w:rtl/>
        </w:rPr>
        <w:t>חוק</w:t>
      </w:r>
      <w:r w:rsidRPr="004C7124">
        <w:rPr>
          <w:sz w:val="28"/>
          <w:szCs w:val="28"/>
          <w:rtl/>
        </w:rPr>
        <w:t xml:space="preserve"> </w:t>
      </w:r>
      <w:r w:rsidRPr="004C7124">
        <w:rPr>
          <w:rFonts w:hint="cs"/>
          <w:sz w:val="28"/>
          <w:szCs w:val="28"/>
          <w:rtl/>
        </w:rPr>
        <w:t>העונשין</w:t>
      </w:r>
      <w:r w:rsidRPr="004C7124">
        <w:rPr>
          <w:sz w:val="28"/>
          <w:szCs w:val="28"/>
          <w:rtl/>
        </w:rPr>
        <w:t xml:space="preserve">, </w:t>
      </w:r>
      <w:r w:rsidRPr="004C7124">
        <w:rPr>
          <w:rFonts w:hint="cs"/>
          <w:sz w:val="28"/>
          <w:szCs w:val="28"/>
          <w:rtl/>
        </w:rPr>
        <w:t>תשל</w:t>
      </w:r>
      <w:r w:rsidRPr="004C7124">
        <w:rPr>
          <w:sz w:val="28"/>
          <w:szCs w:val="28"/>
          <w:rtl/>
        </w:rPr>
        <w:t>"</w:t>
      </w:r>
      <w:r w:rsidRPr="004C7124">
        <w:rPr>
          <w:rFonts w:hint="cs"/>
          <w:sz w:val="28"/>
          <w:szCs w:val="28"/>
          <w:rtl/>
        </w:rPr>
        <w:t>ז</w:t>
      </w:r>
      <w:r w:rsidRPr="004C7124">
        <w:rPr>
          <w:sz w:val="28"/>
          <w:szCs w:val="28"/>
          <w:rtl/>
        </w:rPr>
        <w:t xml:space="preserve"> – 1977 - </w:t>
      </w:r>
      <w:r w:rsidRPr="004C7124">
        <w:rPr>
          <w:rFonts w:hint="cs"/>
          <w:sz w:val="28"/>
          <w:szCs w:val="28"/>
          <w:rtl/>
        </w:rPr>
        <w:t>תוספת</w:t>
      </w:r>
      <w:r w:rsidRPr="004C7124">
        <w:rPr>
          <w:sz w:val="28"/>
          <w:szCs w:val="28"/>
          <w:rtl/>
        </w:rPr>
        <w:t xml:space="preserve"> </w:t>
      </w:r>
      <w:r w:rsidRPr="004C7124">
        <w:rPr>
          <w:rFonts w:hint="cs"/>
          <w:sz w:val="28"/>
          <w:szCs w:val="28"/>
          <w:rtl/>
        </w:rPr>
        <w:t>שניה</w:t>
      </w:r>
      <w:r w:rsidRPr="004C7124">
        <w:rPr>
          <w:sz w:val="28"/>
          <w:szCs w:val="28"/>
          <w:rtl/>
        </w:rPr>
        <w:t xml:space="preserve">, </w:t>
      </w:r>
      <w:r w:rsidRPr="004C7124">
        <w:rPr>
          <w:rFonts w:hint="cs"/>
          <w:sz w:val="28"/>
          <w:szCs w:val="28"/>
          <w:rtl/>
        </w:rPr>
        <w:t>סעיף</w:t>
      </w:r>
      <w:r w:rsidRPr="004C7124">
        <w:rPr>
          <w:sz w:val="28"/>
          <w:szCs w:val="28"/>
          <w:rtl/>
        </w:rPr>
        <w:t xml:space="preserve"> 196</w:t>
      </w:r>
      <w:r w:rsidRPr="004C7124">
        <w:rPr>
          <w:sz w:val="28"/>
          <w:szCs w:val="28"/>
          <w:vertAlign w:val="superscript"/>
          <w:rtl/>
        </w:rPr>
        <w:footnoteReference w:id="4"/>
      </w:r>
    </w:p>
    <w:p w:rsidR="000228C4" w:rsidRDefault="000228C4" w:rsidP="000C55F3">
      <w:pPr>
        <w:jc w:val="both"/>
        <w:rPr>
          <w:rtl/>
        </w:rPr>
      </w:pPr>
    </w:p>
    <w:p w:rsidR="000228C4" w:rsidRDefault="000228C4" w:rsidP="000C55F3">
      <w:pPr>
        <w:jc w:val="both"/>
        <w:rPr>
          <w:rtl/>
        </w:rPr>
      </w:pPr>
    </w:p>
    <w:p w:rsidR="000228C4" w:rsidRPr="00C10900" w:rsidRDefault="000C55F3" w:rsidP="00E4135F">
      <w:pPr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אז כיצד </w:t>
      </w:r>
      <w:r w:rsidR="007B6EA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נמנע </w:t>
      </w:r>
      <w:r w:rsidR="000228C4">
        <w:rPr>
          <w:rFonts w:hint="cs"/>
          <w:sz w:val="28"/>
          <w:szCs w:val="28"/>
          <w:rtl/>
        </w:rPr>
        <w:t>לכ</w:t>
      </w:r>
      <w:r w:rsidR="007B6EA7">
        <w:rPr>
          <w:rFonts w:hint="cs"/>
          <w:sz w:val="28"/>
          <w:szCs w:val="28"/>
          <w:rtl/>
        </w:rPr>
        <w:t xml:space="preserve">לוך הסביבה והסיכון לנוהגים בדרך  </w:t>
      </w:r>
      <w:r>
        <w:rPr>
          <w:rFonts w:hint="cs"/>
          <w:sz w:val="28"/>
          <w:szCs w:val="28"/>
          <w:rtl/>
        </w:rPr>
        <w:t>ונ</w:t>
      </w:r>
      <w:r w:rsidR="007B6EA7">
        <w:rPr>
          <w:rFonts w:hint="cs"/>
          <w:sz w:val="28"/>
          <w:szCs w:val="28"/>
          <w:rtl/>
        </w:rPr>
        <w:t>קטין בזבוז משאבים וכספי ציבור, נ</w:t>
      </w:r>
      <w:r w:rsidR="000228C4">
        <w:rPr>
          <w:rFonts w:hint="cs"/>
          <w:sz w:val="28"/>
          <w:szCs w:val="28"/>
          <w:rtl/>
        </w:rPr>
        <w:t xml:space="preserve">שמור על הסדר הציבורי </w:t>
      </w:r>
      <w:r>
        <w:rPr>
          <w:rFonts w:hint="cs"/>
          <w:sz w:val="28"/>
          <w:szCs w:val="28"/>
          <w:rtl/>
        </w:rPr>
        <w:t xml:space="preserve">ונימנע </w:t>
      </w:r>
      <w:r w:rsidR="000228C4">
        <w:rPr>
          <w:rFonts w:hint="cs"/>
          <w:sz w:val="28"/>
          <w:szCs w:val="28"/>
          <w:rtl/>
        </w:rPr>
        <w:t>חיכוכים מיותרים בין ת</w:t>
      </w:r>
      <w:r>
        <w:rPr>
          <w:rFonts w:hint="cs"/>
          <w:sz w:val="28"/>
          <w:szCs w:val="28"/>
          <w:rtl/>
        </w:rPr>
        <w:t>וש</w:t>
      </w:r>
      <w:r w:rsidR="007B6EA7">
        <w:rPr>
          <w:rFonts w:hint="cs"/>
          <w:sz w:val="28"/>
          <w:szCs w:val="28"/>
          <w:rtl/>
        </w:rPr>
        <w:t>בי הרשות המקומית?</w:t>
      </w:r>
    </w:p>
    <w:p w:rsidR="000228C4" w:rsidRDefault="000228C4" w:rsidP="000C55F3">
      <w:pPr>
        <w:jc w:val="both"/>
        <w:rPr>
          <w:rtl/>
        </w:rPr>
      </w:pPr>
    </w:p>
    <w:p w:rsidR="007B6EA7" w:rsidRDefault="007B6EA7" w:rsidP="00E4135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נציע לראשי הסיעות העומדות לבחירות לחתום על אמנה  כדוגמת האמנה המצורפת, בה הם מתחייבים לנהל את מהלך הבחירות באופן שישיג את המטרות המפורטות לעיל.</w:t>
      </w:r>
    </w:p>
    <w:p w:rsidR="00110177" w:rsidRDefault="00110177" w:rsidP="00E4135F">
      <w:pPr>
        <w:rPr>
          <w:rFonts w:hint="cs"/>
          <w:sz w:val="28"/>
          <w:szCs w:val="28"/>
          <w:rtl/>
        </w:rPr>
      </w:pPr>
    </w:p>
    <w:p w:rsidR="001F2CC8" w:rsidRDefault="001F2CC8" w:rsidP="001F2CC8">
      <w:pPr>
        <w:ind w:left="720"/>
        <w:rPr>
          <w:sz w:val="28"/>
          <w:szCs w:val="28"/>
          <w:rtl/>
        </w:rPr>
      </w:pPr>
    </w:p>
    <w:p w:rsidR="007F49DC" w:rsidRDefault="007F49DC" w:rsidP="007B6EA7">
      <w:pPr>
        <w:jc w:val="both"/>
        <w:rPr>
          <w:rtl/>
        </w:rPr>
      </w:pPr>
    </w:p>
    <w:p w:rsidR="00957BDF" w:rsidRDefault="00957BDF" w:rsidP="007B6EA7">
      <w:pPr>
        <w:jc w:val="both"/>
        <w:rPr>
          <w:rFonts w:hint="cs"/>
          <w:b/>
          <w:bCs/>
          <w:rtl/>
        </w:rPr>
      </w:pPr>
    </w:p>
    <w:p w:rsidR="00497F95" w:rsidRDefault="00497F95" w:rsidP="007B6EA7">
      <w:pPr>
        <w:jc w:val="both"/>
        <w:rPr>
          <w:rFonts w:hint="cs"/>
          <w:b/>
          <w:bCs/>
          <w:rtl/>
        </w:rPr>
      </w:pPr>
    </w:p>
    <w:p w:rsidR="00497F95" w:rsidRDefault="00497F95" w:rsidP="007B6EA7">
      <w:pPr>
        <w:jc w:val="both"/>
        <w:rPr>
          <w:rFonts w:hint="cs"/>
          <w:b/>
          <w:bCs/>
          <w:rtl/>
        </w:rPr>
      </w:pPr>
    </w:p>
    <w:p w:rsidR="00497F95" w:rsidRDefault="00497F95" w:rsidP="007B6EA7">
      <w:pPr>
        <w:jc w:val="both"/>
        <w:rPr>
          <w:rFonts w:hint="cs"/>
          <w:b/>
          <w:bCs/>
          <w:rtl/>
        </w:rPr>
      </w:pPr>
    </w:p>
    <w:p w:rsidR="00497F95" w:rsidRDefault="00497F95" w:rsidP="007B6EA7">
      <w:pPr>
        <w:jc w:val="both"/>
        <w:rPr>
          <w:rFonts w:hint="cs"/>
          <w:b/>
          <w:bCs/>
          <w:rtl/>
        </w:rPr>
      </w:pPr>
    </w:p>
    <w:p w:rsidR="00497F95" w:rsidRDefault="00497F95" w:rsidP="007B6EA7">
      <w:pPr>
        <w:jc w:val="both"/>
        <w:rPr>
          <w:rFonts w:hint="cs"/>
          <w:b/>
          <w:bCs/>
          <w:rtl/>
        </w:rPr>
      </w:pPr>
    </w:p>
    <w:p w:rsidR="00497F95" w:rsidRDefault="00497F95" w:rsidP="007B6EA7">
      <w:pPr>
        <w:jc w:val="both"/>
        <w:rPr>
          <w:rFonts w:hint="cs"/>
          <w:b/>
          <w:bCs/>
          <w:rtl/>
        </w:rPr>
      </w:pPr>
    </w:p>
    <w:p w:rsidR="00497F95" w:rsidRDefault="00497F95" w:rsidP="007B6EA7">
      <w:pPr>
        <w:jc w:val="both"/>
        <w:rPr>
          <w:rFonts w:hint="cs"/>
          <w:b/>
          <w:bCs/>
          <w:rtl/>
        </w:rPr>
      </w:pPr>
    </w:p>
    <w:p w:rsidR="00497F95" w:rsidRDefault="00497F95" w:rsidP="007B6EA7">
      <w:pPr>
        <w:jc w:val="both"/>
        <w:rPr>
          <w:rFonts w:hint="cs"/>
          <w:b/>
          <w:bCs/>
          <w:rtl/>
        </w:rPr>
      </w:pPr>
    </w:p>
    <w:p w:rsidR="00497F95" w:rsidRDefault="00497F95" w:rsidP="007B6EA7">
      <w:pPr>
        <w:jc w:val="both"/>
        <w:rPr>
          <w:rFonts w:hint="cs"/>
          <w:b/>
          <w:bCs/>
          <w:rtl/>
        </w:rPr>
      </w:pPr>
    </w:p>
    <w:p w:rsidR="00497F95" w:rsidRDefault="00497F95" w:rsidP="007B6EA7">
      <w:pPr>
        <w:jc w:val="both"/>
        <w:rPr>
          <w:rtl/>
        </w:rPr>
      </w:pPr>
    </w:p>
    <w:p w:rsidR="006D4C59" w:rsidRPr="006D4C59" w:rsidRDefault="006D4C59" w:rsidP="006D4C59">
      <w:pPr>
        <w:jc w:val="center"/>
        <w:rPr>
          <w:sz w:val="28"/>
          <w:szCs w:val="28"/>
          <w:u w:val="single"/>
          <w:rtl/>
        </w:rPr>
      </w:pPr>
      <w:r w:rsidRPr="006D4C59">
        <w:rPr>
          <w:rFonts w:hint="cs"/>
          <w:sz w:val="28"/>
          <w:szCs w:val="28"/>
          <w:u w:val="single"/>
          <w:rtl/>
        </w:rPr>
        <w:t>אמנת הבחירות הירוקות</w:t>
      </w:r>
    </w:p>
    <w:p w:rsidR="006D4C59" w:rsidRPr="00D83640" w:rsidRDefault="006D4C59" w:rsidP="006D4C59">
      <w:pPr>
        <w:jc w:val="center"/>
        <w:rPr>
          <w:sz w:val="28"/>
          <w:szCs w:val="28"/>
          <w:rtl/>
        </w:rPr>
      </w:pPr>
    </w:p>
    <w:p w:rsidR="00497F95" w:rsidRDefault="00497F95" w:rsidP="006D4C59">
      <w:pPr>
        <w:rPr>
          <w:rFonts w:hint="cs"/>
          <w:rtl/>
        </w:rPr>
      </w:pPr>
    </w:p>
    <w:p w:rsidR="006D4C59" w:rsidRPr="007F49DC" w:rsidRDefault="006D4C59" w:rsidP="006D4C59">
      <w:pPr>
        <w:rPr>
          <w:rtl/>
        </w:rPr>
      </w:pPr>
      <w:r w:rsidRPr="007F49DC">
        <w:rPr>
          <w:rFonts w:hint="cs"/>
          <w:rtl/>
        </w:rPr>
        <w:t>אני</w:t>
      </w:r>
      <w:r w:rsidRPr="007F49DC">
        <w:rPr>
          <w:rtl/>
        </w:rPr>
        <w:t xml:space="preserve">, </w:t>
      </w:r>
      <w:r w:rsidRPr="007F49DC">
        <w:rPr>
          <w:rFonts w:hint="cs"/>
          <w:rtl/>
        </w:rPr>
        <w:t>_______________ ראש סיעת</w:t>
      </w:r>
      <w:r w:rsidRPr="007F49DC">
        <w:rPr>
          <w:rtl/>
        </w:rPr>
        <w:t xml:space="preserve"> _____</w:t>
      </w:r>
      <w:r w:rsidRPr="007F49DC">
        <w:rPr>
          <w:rFonts w:hint="cs"/>
          <w:rtl/>
        </w:rPr>
        <w:t>___</w:t>
      </w:r>
      <w:r w:rsidRPr="007F49DC">
        <w:rPr>
          <w:rtl/>
        </w:rPr>
        <w:t xml:space="preserve">__ , </w:t>
      </w:r>
      <w:r w:rsidRPr="007F49DC">
        <w:rPr>
          <w:rFonts w:hint="cs"/>
          <w:rtl/>
        </w:rPr>
        <w:t>החתום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על אמנה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זו</w:t>
      </w:r>
      <w:r w:rsidRPr="007F49DC">
        <w:rPr>
          <w:rtl/>
        </w:rPr>
        <w:t xml:space="preserve">, </w:t>
      </w:r>
      <w:r w:rsidRPr="007F49DC">
        <w:rPr>
          <w:rFonts w:hint="cs"/>
          <w:rtl/>
        </w:rPr>
        <w:t>מעוניין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לקיים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מסע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בחירות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לרשות המקומית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תוך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שמירה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על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ניקיון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רשות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הרבים, אחריות והקפדה למניעת בזבוז כספי הציבור, הפחתת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ייצור של פסולת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מיותרת ושמירה על הסדר הציבורי,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בכך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להוביל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לשינוי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בהרגלי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תעמולת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הבחירות.</w:t>
      </w:r>
    </w:p>
    <w:p w:rsidR="006D4C59" w:rsidRPr="007F49DC" w:rsidRDefault="006D4C59" w:rsidP="006D4C59">
      <w:pPr>
        <w:rPr>
          <w:rtl/>
        </w:rPr>
      </w:pPr>
    </w:p>
    <w:p w:rsidR="006D4C59" w:rsidRPr="007F49DC" w:rsidRDefault="006D4C59" w:rsidP="006D4C59">
      <w:pPr>
        <w:rPr>
          <w:rtl/>
        </w:rPr>
      </w:pPr>
      <w:r w:rsidRPr="007F49DC">
        <w:rPr>
          <w:rFonts w:hint="cs"/>
          <w:rtl/>
        </w:rPr>
        <w:t>לפיכך, הנני מתחייב, בשמי ובשם סיעתי,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לפעול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על פי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העקרונות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שלהלן</w:t>
      </w:r>
      <w:r w:rsidRPr="007F49DC">
        <w:rPr>
          <w:rtl/>
        </w:rPr>
        <w:t>:</w:t>
      </w:r>
    </w:p>
    <w:p w:rsidR="006D4C59" w:rsidRPr="007F49DC" w:rsidRDefault="006D4C59" w:rsidP="006D4C59">
      <w:pPr>
        <w:rPr>
          <w:rtl/>
        </w:rPr>
      </w:pPr>
    </w:p>
    <w:p w:rsidR="006D4C59" w:rsidRPr="007F49DC" w:rsidRDefault="006D4C59" w:rsidP="006D4C59">
      <w:pPr>
        <w:numPr>
          <w:ilvl w:val="0"/>
          <w:numId w:val="4"/>
        </w:numPr>
        <w:spacing w:line="360" w:lineRule="auto"/>
        <w:rPr>
          <w:rtl/>
        </w:rPr>
      </w:pPr>
      <w:r w:rsidRPr="007F49DC">
        <w:rPr>
          <w:rFonts w:hint="cs"/>
          <w:rtl/>
        </w:rPr>
        <w:t>אקפיד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כי פעילי סיעתי ישמרו על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הוראות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החוק הקיים</w:t>
      </w:r>
      <w:r w:rsidRPr="007F49DC">
        <w:rPr>
          <w:rtl/>
        </w:rPr>
        <w:t>:</w:t>
      </w:r>
    </w:p>
    <w:p w:rsidR="006D4C59" w:rsidRPr="007F49DC" w:rsidRDefault="006D4C59" w:rsidP="006D4C59">
      <w:pPr>
        <w:pStyle w:val="a6"/>
        <w:ind w:left="360"/>
        <w:contextualSpacing/>
        <w:rPr>
          <w:rFonts w:cs="David"/>
          <w:sz w:val="24"/>
          <w:szCs w:val="24"/>
          <w:rtl/>
        </w:rPr>
      </w:pPr>
      <w:r w:rsidRPr="007F49DC">
        <w:rPr>
          <w:rFonts w:cs="David" w:hint="cs"/>
          <w:sz w:val="24"/>
          <w:szCs w:val="24"/>
          <w:rtl/>
        </w:rPr>
        <w:t>חוק</w:t>
      </w:r>
      <w:r w:rsidRPr="007F49DC">
        <w:rPr>
          <w:rFonts w:cs="David"/>
          <w:sz w:val="24"/>
          <w:szCs w:val="24"/>
          <w:rtl/>
        </w:rPr>
        <w:t xml:space="preserve"> </w:t>
      </w:r>
      <w:r w:rsidRPr="007F49DC">
        <w:rPr>
          <w:rFonts w:cs="David" w:hint="cs"/>
          <w:sz w:val="24"/>
          <w:szCs w:val="24"/>
          <w:rtl/>
        </w:rPr>
        <w:t>שמירת</w:t>
      </w:r>
      <w:r w:rsidRPr="007F49DC">
        <w:rPr>
          <w:rFonts w:cs="David"/>
          <w:sz w:val="24"/>
          <w:szCs w:val="24"/>
          <w:rtl/>
        </w:rPr>
        <w:t xml:space="preserve"> </w:t>
      </w:r>
      <w:r w:rsidRPr="007F49DC">
        <w:rPr>
          <w:rFonts w:cs="David" w:hint="cs"/>
          <w:sz w:val="24"/>
          <w:szCs w:val="24"/>
          <w:rtl/>
        </w:rPr>
        <w:t>הניקיון</w:t>
      </w:r>
      <w:r w:rsidRPr="007F49DC">
        <w:rPr>
          <w:rFonts w:cs="David"/>
          <w:sz w:val="24"/>
          <w:szCs w:val="24"/>
          <w:rtl/>
        </w:rPr>
        <w:t xml:space="preserve"> </w:t>
      </w:r>
      <w:proofErr w:type="spellStart"/>
      <w:r w:rsidRPr="007F49DC">
        <w:rPr>
          <w:rFonts w:cs="David" w:hint="cs"/>
          <w:sz w:val="24"/>
          <w:szCs w:val="24"/>
          <w:rtl/>
        </w:rPr>
        <w:t>התשמ</w:t>
      </w:r>
      <w:r w:rsidRPr="007F49DC">
        <w:rPr>
          <w:rFonts w:cs="David"/>
          <w:sz w:val="24"/>
          <w:szCs w:val="24"/>
          <w:rtl/>
        </w:rPr>
        <w:t>"</w:t>
      </w:r>
      <w:r w:rsidRPr="007F49DC">
        <w:rPr>
          <w:rFonts w:cs="David" w:hint="cs"/>
          <w:sz w:val="24"/>
          <w:szCs w:val="24"/>
          <w:rtl/>
        </w:rPr>
        <w:t>ד</w:t>
      </w:r>
      <w:proofErr w:type="spellEnd"/>
      <w:r w:rsidRPr="007F49DC">
        <w:rPr>
          <w:rFonts w:cs="David"/>
          <w:sz w:val="24"/>
          <w:szCs w:val="24"/>
          <w:rtl/>
        </w:rPr>
        <w:t xml:space="preserve"> 1984</w:t>
      </w:r>
    </w:p>
    <w:p w:rsidR="006D4C59" w:rsidRPr="007F49DC" w:rsidRDefault="006D4C59" w:rsidP="006D4C59">
      <w:pPr>
        <w:pStyle w:val="a6"/>
        <w:ind w:left="360"/>
        <w:contextualSpacing/>
        <w:rPr>
          <w:rFonts w:cs="David"/>
          <w:sz w:val="24"/>
          <w:szCs w:val="24"/>
          <w:rtl/>
        </w:rPr>
      </w:pPr>
      <w:r w:rsidRPr="007F49DC">
        <w:rPr>
          <w:rFonts w:cs="David" w:hint="cs"/>
          <w:sz w:val="24"/>
          <w:szCs w:val="24"/>
          <w:rtl/>
        </w:rPr>
        <w:t>חוק</w:t>
      </w:r>
      <w:r w:rsidRPr="007F49DC">
        <w:rPr>
          <w:rFonts w:cs="David"/>
          <w:sz w:val="24"/>
          <w:szCs w:val="24"/>
          <w:rtl/>
        </w:rPr>
        <w:t xml:space="preserve"> </w:t>
      </w:r>
      <w:r w:rsidRPr="007F49DC">
        <w:rPr>
          <w:rFonts w:cs="David" w:hint="cs"/>
          <w:sz w:val="24"/>
          <w:szCs w:val="24"/>
          <w:rtl/>
        </w:rPr>
        <w:t>הדרכים</w:t>
      </w:r>
      <w:r w:rsidRPr="007F49DC">
        <w:rPr>
          <w:rFonts w:cs="David"/>
          <w:sz w:val="24"/>
          <w:szCs w:val="24"/>
          <w:rtl/>
        </w:rPr>
        <w:t xml:space="preserve"> (</w:t>
      </w:r>
      <w:r w:rsidRPr="007F49DC">
        <w:rPr>
          <w:rFonts w:cs="David" w:hint="cs"/>
          <w:sz w:val="24"/>
          <w:szCs w:val="24"/>
          <w:rtl/>
        </w:rPr>
        <w:t>שילוט</w:t>
      </w:r>
      <w:r w:rsidRPr="007F49DC">
        <w:rPr>
          <w:rFonts w:cs="David"/>
          <w:sz w:val="24"/>
          <w:szCs w:val="24"/>
          <w:rtl/>
        </w:rPr>
        <w:t xml:space="preserve">), </w:t>
      </w:r>
      <w:r w:rsidRPr="007F49DC">
        <w:rPr>
          <w:rFonts w:cs="David" w:hint="cs"/>
          <w:sz w:val="24"/>
          <w:szCs w:val="24"/>
          <w:rtl/>
        </w:rPr>
        <w:t>תשכ</w:t>
      </w:r>
      <w:r w:rsidRPr="007F49DC">
        <w:rPr>
          <w:rFonts w:cs="David"/>
          <w:sz w:val="24"/>
          <w:szCs w:val="24"/>
          <w:rtl/>
        </w:rPr>
        <w:t>"</w:t>
      </w:r>
      <w:r w:rsidRPr="007F49DC">
        <w:rPr>
          <w:rFonts w:cs="David" w:hint="cs"/>
          <w:sz w:val="24"/>
          <w:szCs w:val="24"/>
          <w:rtl/>
        </w:rPr>
        <w:t>ז</w:t>
      </w:r>
      <w:r w:rsidRPr="007F49DC">
        <w:rPr>
          <w:rFonts w:cs="David"/>
          <w:sz w:val="24"/>
          <w:szCs w:val="24"/>
          <w:rtl/>
        </w:rPr>
        <w:t xml:space="preserve"> 1966</w:t>
      </w:r>
    </w:p>
    <w:p w:rsidR="006D4C59" w:rsidRPr="007F49DC" w:rsidRDefault="006D4C59" w:rsidP="006D4C59">
      <w:pPr>
        <w:pStyle w:val="a6"/>
        <w:ind w:left="360"/>
        <w:contextualSpacing/>
        <w:rPr>
          <w:rFonts w:cs="David"/>
          <w:sz w:val="24"/>
          <w:szCs w:val="24"/>
        </w:rPr>
      </w:pPr>
      <w:r w:rsidRPr="007F49DC">
        <w:rPr>
          <w:rFonts w:cs="David" w:hint="cs"/>
          <w:sz w:val="24"/>
          <w:szCs w:val="24"/>
          <w:rtl/>
        </w:rPr>
        <w:t>חוק</w:t>
      </w:r>
      <w:r w:rsidRPr="007F49DC">
        <w:rPr>
          <w:rFonts w:cs="David"/>
          <w:sz w:val="24"/>
          <w:szCs w:val="24"/>
          <w:rtl/>
        </w:rPr>
        <w:t xml:space="preserve"> </w:t>
      </w:r>
      <w:r w:rsidRPr="007F49DC">
        <w:rPr>
          <w:rFonts w:cs="David" w:hint="cs"/>
          <w:sz w:val="24"/>
          <w:szCs w:val="24"/>
          <w:rtl/>
        </w:rPr>
        <w:t>הבחירות</w:t>
      </w:r>
      <w:r w:rsidRPr="007F49DC">
        <w:rPr>
          <w:rFonts w:cs="David"/>
          <w:sz w:val="24"/>
          <w:szCs w:val="24"/>
          <w:rtl/>
        </w:rPr>
        <w:t xml:space="preserve"> (</w:t>
      </w:r>
      <w:r w:rsidRPr="007F49DC">
        <w:rPr>
          <w:rFonts w:cs="David" w:hint="cs"/>
          <w:sz w:val="24"/>
          <w:szCs w:val="24"/>
          <w:rtl/>
        </w:rPr>
        <w:t>דרכי</w:t>
      </w:r>
      <w:r w:rsidRPr="007F49DC">
        <w:rPr>
          <w:rFonts w:cs="David"/>
          <w:sz w:val="24"/>
          <w:szCs w:val="24"/>
          <w:rtl/>
        </w:rPr>
        <w:t xml:space="preserve"> </w:t>
      </w:r>
      <w:r w:rsidRPr="007F49DC">
        <w:rPr>
          <w:rFonts w:cs="David" w:hint="cs"/>
          <w:sz w:val="24"/>
          <w:szCs w:val="24"/>
          <w:rtl/>
        </w:rPr>
        <w:t>תעמולה</w:t>
      </w:r>
      <w:r w:rsidRPr="007F49DC">
        <w:rPr>
          <w:rFonts w:cs="David"/>
          <w:sz w:val="24"/>
          <w:szCs w:val="24"/>
          <w:rtl/>
        </w:rPr>
        <w:t xml:space="preserve">), </w:t>
      </w:r>
      <w:r w:rsidRPr="007F49DC">
        <w:rPr>
          <w:rFonts w:cs="David" w:hint="cs"/>
          <w:sz w:val="24"/>
          <w:szCs w:val="24"/>
          <w:rtl/>
        </w:rPr>
        <w:t>תשי</w:t>
      </w:r>
      <w:r w:rsidRPr="007F49DC">
        <w:rPr>
          <w:rFonts w:cs="David"/>
          <w:sz w:val="24"/>
          <w:szCs w:val="24"/>
          <w:rtl/>
        </w:rPr>
        <w:t>"</w:t>
      </w:r>
      <w:r w:rsidRPr="007F49DC">
        <w:rPr>
          <w:rFonts w:cs="David" w:hint="cs"/>
          <w:sz w:val="24"/>
          <w:szCs w:val="24"/>
          <w:rtl/>
        </w:rPr>
        <w:t>ט</w:t>
      </w:r>
      <w:r w:rsidRPr="007F49DC">
        <w:rPr>
          <w:rFonts w:cs="David"/>
          <w:sz w:val="24"/>
          <w:szCs w:val="24"/>
          <w:rtl/>
        </w:rPr>
        <w:t xml:space="preserve"> 1959</w:t>
      </w:r>
    </w:p>
    <w:p w:rsidR="006D4C59" w:rsidRPr="007F49DC" w:rsidRDefault="006D4C59" w:rsidP="006D4C59">
      <w:pPr>
        <w:pStyle w:val="a6"/>
        <w:spacing w:after="200"/>
        <w:ind w:left="360"/>
        <w:contextualSpacing/>
        <w:rPr>
          <w:rFonts w:cs="David"/>
          <w:sz w:val="24"/>
          <w:szCs w:val="24"/>
          <w:rtl/>
        </w:rPr>
      </w:pPr>
      <w:r w:rsidRPr="007F49DC">
        <w:rPr>
          <w:rFonts w:cs="David" w:hint="cs"/>
          <w:sz w:val="24"/>
          <w:szCs w:val="24"/>
          <w:rtl/>
        </w:rPr>
        <w:t>חוק</w:t>
      </w:r>
      <w:r w:rsidRPr="007F49DC">
        <w:rPr>
          <w:rFonts w:cs="David"/>
          <w:sz w:val="24"/>
          <w:szCs w:val="24"/>
          <w:rtl/>
        </w:rPr>
        <w:t xml:space="preserve"> </w:t>
      </w:r>
      <w:r w:rsidRPr="007F49DC">
        <w:rPr>
          <w:rFonts w:cs="David" w:hint="cs"/>
          <w:sz w:val="24"/>
          <w:szCs w:val="24"/>
          <w:rtl/>
        </w:rPr>
        <w:t>העונשין</w:t>
      </w:r>
      <w:r w:rsidRPr="007F49DC">
        <w:rPr>
          <w:rFonts w:cs="David"/>
          <w:sz w:val="24"/>
          <w:szCs w:val="24"/>
          <w:rtl/>
        </w:rPr>
        <w:t xml:space="preserve">, </w:t>
      </w:r>
      <w:r w:rsidRPr="007F49DC">
        <w:rPr>
          <w:rFonts w:cs="David" w:hint="cs"/>
          <w:sz w:val="24"/>
          <w:szCs w:val="24"/>
          <w:rtl/>
        </w:rPr>
        <w:t>תשל</w:t>
      </w:r>
      <w:r w:rsidRPr="007F49DC">
        <w:rPr>
          <w:rFonts w:cs="David"/>
          <w:sz w:val="24"/>
          <w:szCs w:val="24"/>
          <w:rtl/>
        </w:rPr>
        <w:t>"</w:t>
      </w:r>
      <w:r w:rsidRPr="007F49DC">
        <w:rPr>
          <w:rFonts w:cs="David" w:hint="cs"/>
          <w:sz w:val="24"/>
          <w:szCs w:val="24"/>
          <w:rtl/>
        </w:rPr>
        <w:t>ז</w:t>
      </w:r>
      <w:r w:rsidRPr="007F49DC">
        <w:rPr>
          <w:rFonts w:cs="David"/>
          <w:sz w:val="24"/>
          <w:szCs w:val="24"/>
          <w:rtl/>
        </w:rPr>
        <w:t xml:space="preserve"> – 1977 - </w:t>
      </w:r>
      <w:r w:rsidRPr="007F49DC">
        <w:rPr>
          <w:rFonts w:cs="David" w:hint="cs"/>
          <w:sz w:val="24"/>
          <w:szCs w:val="24"/>
          <w:rtl/>
        </w:rPr>
        <w:t>תוספת</w:t>
      </w:r>
      <w:r w:rsidRPr="007F49DC">
        <w:rPr>
          <w:rFonts w:cs="David"/>
          <w:sz w:val="24"/>
          <w:szCs w:val="24"/>
          <w:rtl/>
        </w:rPr>
        <w:t xml:space="preserve"> </w:t>
      </w:r>
      <w:r w:rsidRPr="007F49DC">
        <w:rPr>
          <w:rFonts w:cs="David" w:hint="cs"/>
          <w:sz w:val="24"/>
          <w:szCs w:val="24"/>
          <w:rtl/>
        </w:rPr>
        <w:t>שניה</w:t>
      </w:r>
      <w:r w:rsidRPr="007F49DC">
        <w:rPr>
          <w:rFonts w:cs="David"/>
          <w:sz w:val="24"/>
          <w:szCs w:val="24"/>
          <w:rtl/>
        </w:rPr>
        <w:t xml:space="preserve">, </w:t>
      </w:r>
      <w:r w:rsidRPr="007F49DC">
        <w:rPr>
          <w:rFonts w:cs="David" w:hint="cs"/>
          <w:sz w:val="24"/>
          <w:szCs w:val="24"/>
          <w:rtl/>
        </w:rPr>
        <w:t>סעיף</w:t>
      </w:r>
      <w:r w:rsidRPr="007F49DC">
        <w:rPr>
          <w:rFonts w:cs="David"/>
          <w:sz w:val="24"/>
          <w:szCs w:val="24"/>
          <w:rtl/>
        </w:rPr>
        <w:t xml:space="preserve"> 196</w:t>
      </w:r>
    </w:p>
    <w:p w:rsidR="006D4C59" w:rsidRPr="007F49DC" w:rsidRDefault="006D4C59" w:rsidP="006D4C59">
      <w:pPr>
        <w:numPr>
          <w:ilvl w:val="0"/>
          <w:numId w:val="4"/>
        </w:numPr>
        <w:spacing w:line="360" w:lineRule="auto"/>
      </w:pPr>
      <w:r w:rsidRPr="007F49DC">
        <w:rPr>
          <w:rFonts w:hint="cs"/>
          <w:rtl/>
        </w:rPr>
        <w:t>לא אמסור הודעות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לתושבים בחלוקה ידנית במרחב הציבורי (פליירים).</w:t>
      </w:r>
    </w:p>
    <w:p w:rsidR="006D4C59" w:rsidRPr="007F49DC" w:rsidRDefault="006D4C59" w:rsidP="006D4C59">
      <w:pPr>
        <w:numPr>
          <w:ilvl w:val="0"/>
          <w:numId w:val="4"/>
        </w:numPr>
        <w:spacing w:line="360" w:lineRule="auto"/>
        <w:rPr>
          <w:rtl/>
        </w:rPr>
      </w:pPr>
      <w:r w:rsidRPr="007F49DC">
        <w:rPr>
          <w:rFonts w:hint="cs"/>
          <w:rtl/>
        </w:rPr>
        <w:t xml:space="preserve">אשלח דברי תעמולה כתובים, במקרה הצורך, </w:t>
      </w:r>
      <w:r w:rsidRPr="007F49DC">
        <w:rPr>
          <w:rFonts w:hint="cs"/>
          <w:u w:val="single"/>
          <w:rtl/>
        </w:rPr>
        <w:t>ישירות</w:t>
      </w:r>
      <w:r w:rsidRPr="007F49DC">
        <w:rPr>
          <w:rFonts w:hint="cs"/>
          <w:rtl/>
        </w:rPr>
        <w:t xml:space="preserve"> לבתי התושבים. </w:t>
      </w:r>
    </w:p>
    <w:p w:rsidR="006D4C59" w:rsidRPr="007F49DC" w:rsidRDefault="006D4C59" w:rsidP="006D4C59">
      <w:pPr>
        <w:numPr>
          <w:ilvl w:val="0"/>
          <w:numId w:val="4"/>
        </w:numPr>
        <w:spacing w:line="360" w:lineRule="auto"/>
        <w:rPr>
          <w:rtl/>
        </w:rPr>
      </w:pPr>
      <w:r w:rsidRPr="007F49DC">
        <w:rPr>
          <w:rFonts w:hint="cs"/>
          <w:rtl/>
        </w:rPr>
        <w:t>במידת הצורך, אמסור מסרים לתושבים במדיה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דיגיטלית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בדיוור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ישיר</w:t>
      </w:r>
      <w:r w:rsidRPr="007F49DC">
        <w:rPr>
          <w:rtl/>
        </w:rPr>
        <w:t xml:space="preserve">, </w:t>
      </w:r>
      <w:r w:rsidRPr="007F49DC">
        <w:rPr>
          <w:rFonts w:hint="cs"/>
          <w:rtl/>
        </w:rPr>
        <w:t>בעיתונות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האינטרנטית</w:t>
      </w:r>
      <w:r w:rsidRPr="007F49DC">
        <w:rPr>
          <w:rtl/>
        </w:rPr>
        <w:t xml:space="preserve">, </w:t>
      </w:r>
      <w:r w:rsidRPr="007F49DC">
        <w:rPr>
          <w:rFonts w:hint="cs"/>
          <w:rtl/>
        </w:rPr>
        <w:t>ברשתות החברתיות, חוגי בית, פנייה טלפונית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וכל אמצעי אחר שימנע בזבוז משאבים ולכלוך רשות הרבים</w:t>
      </w:r>
      <w:r w:rsidRPr="007F49DC">
        <w:rPr>
          <w:rtl/>
        </w:rPr>
        <w:t>.</w:t>
      </w:r>
    </w:p>
    <w:p w:rsidR="006D4C59" w:rsidRPr="007F49DC" w:rsidRDefault="006D4C59" w:rsidP="006D4C59">
      <w:pPr>
        <w:numPr>
          <w:ilvl w:val="0"/>
          <w:numId w:val="4"/>
        </w:numPr>
        <w:spacing w:line="360" w:lineRule="auto"/>
      </w:pPr>
      <w:r w:rsidRPr="007F49DC">
        <w:rPr>
          <w:rFonts w:hint="cs"/>
          <w:rtl/>
        </w:rPr>
        <w:t>לא אתלה שלטים ומודעות במרחב הפרטי (מרפסות, חלונות ועוד).</w:t>
      </w:r>
    </w:p>
    <w:p w:rsidR="006D4C59" w:rsidRPr="007F49DC" w:rsidRDefault="006D4C59" w:rsidP="006D4C59">
      <w:pPr>
        <w:numPr>
          <w:ilvl w:val="0"/>
          <w:numId w:val="4"/>
        </w:numPr>
        <w:spacing w:line="360" w:lineRule="auto"/>
      </w:pPr>
      <w:r w:rsidRPr="007F49DC">
        <w:rPr>
          <w:rFonts w:hint="cs"/>
          <w:rtl/>
        </w:rPr>
        <w:t>אקפיד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על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כך שתליית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מודעות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תיעשה אך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ורק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על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גבי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לוחות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המודעות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החוקיים ובהתאם להנחיית וועדת הבחירות הירוקות</w:t>
      </w:r>
      <w:r w:rsidRPr="007F49DC">
        <w:rPr>
          <w:rtl/>
        </w:rPr>
        <w:t>.</w:t>
      </w:r>
    </w:p>
    <w:p w:rsidR="006D4C59" w:rsidRPr="007F49DC" w:rsidRDefault="006D4C59" w:rsidP="006D4C59">
      <w:pPr>
        <w:numPr>
          <w:ilvl w:val="0"/>
          <w:numId w:val="4"/>
        </w:numPr>
        <w:spacing w:line="360" w:lineRule="auto"/>
        <w:rPr>
          <w:rtl/>
        </w:rPr>
      </w:pPr>
      <w:r w:rsidRPr="007F49DC">
        <w:rPr>
          <w:rFonts w:hint="cs"/>
          <w:rtl/>
        </w:rPr>
        <w:t>תליית שלטים במקומות הי</w:t>
      </w:r>
      <w:r w:rsidR="00497F95">
        <w:rPr>
          <w:rFonts w:hint="cs"/>
          <w:rtl/>
        </w:rPr>
        <w:t>י</w:t>
      </w:r>
      <w:r w:rsidRPr="007F49DC">
        <w:rPr>
          <w:rFonts w:hint="cs"/>
          <w:rtl/>
        </w:rPr>
        <w:t>עודיים תעשה על ידי צוות בלתי תלוי.</w:t>
      </w:r>
    </w:p>
    <w:p w:rsidR="006D4C59" w:rsidRPr="007F49DC" w:rsidRDefault="006D4C59" w:rsidP="006D4C59">
      <w:pPr>
        <w:numPr>
          <w:ilvl w:val="0"/>
          <w:numId w:val="4"/>
        </w:numPr>
        <w:spacing w:line="360" w:lineRule="auto"/>
      </w:pPr>
      <w:r w:rsidRPr="007F49DC">
        <w:rPr>
          <w:rFonts w:hint="cs"/>
          <w:rtl/>
        </w:rPr>
        <w:t>אקפיד כי שלטי חוצות מטעם סיעתי לא יראו מדרכים</w:t>
      </w:r>
      <w:r w:rsidRPr="007F49DC">
        <w:rPr>
          <w:rtl/>
        </w:rPr>
        <w:t xml:space="preserve"> </w:t>
      </w:r>
      <w:r w:rsidRPr="007F49DC">
        <w:rPr>
          <w:rFonts w:hint="cs"/>
          <w:rtl/>
        </w:rPr>
        <w:t>בינעירוניות</w:t>
      </w:r>
      <w:r w:rsidRPr="007F49DC">
        <w:rPr>
          <w:rtl/>
        </w:rPr>
        <w:t>.</w:t>
      </w:r>
    </w:p>
    <w:p w:rsidR="006D4C59" w:rsidRPr="007F49DC" w:rsidRDefault="006D4C59" w:rsidP="006D4C59">
      <w:pPr>
        <w:numPr>
          <w:ilvl w:val="0"/>
          <w:numId w:val="4"/>
        </w:numPr>
        <w:spacing w:line="360" w:lineRule="auto"/>
        <w:rPr>
          <w:rtl/>
        </w:rPr>
      </w:pPr>
      <w:r w:rsidRPr="007F49DC">
        <w:rPr>
          <w:rFonts w:hint="cs"/>
          <w:rtl/>
        </w:rPr>
        <w:t>ביום הבחירות אשתמש רק בשלטים ניידים בקרבת הקלפיות.</w:t>
      </w:r>
    </w:p>
    <w:p w:rsidR="006D4C59" w:rsidRPr="007F49DC" w:rsidRDefault="006D4C59" w:rsidP="006D4C59">
      <w:pPr>
        <w:spacing w:line="360" w:lineRule="auto"/>
        <w:rPr>
          <w:rtl/>
        </w:rPr>
      </w:pPr>
    </w:p>
    <w:p w:rsidR="00957BDF" w:rsidRPr="007F49DC" w:rsidRDefault="006D4C59" w:rsidP="00497F95">
      <w:pPr>
        <w:spacing w:line="360" w:lineRule="auto"/>
        <w:ind w:left="3600" w:firstLine="720"/>
        <w:rPr>
          <w:rtl/>
        </w:rPr>
      </w:pPr>
      <w:r w:rsidRPr="007F49DC">
        <w:rPr>
          <w:rFonts w:hint="cs"/>
          <w:rtl/>
        </w:rPr>
        <w:t xml:space="preserve">ראש הסיעה                 </w:t>
      </w:r>
    </w:p>
    <w:sectPr w:rsidR="00957BDF" w:rsidRPr="007F49DC" w:rsidSect="001F2CC8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81" w:rsidRDefault="00BA0481" w:rsidP="000228C4">
      <w:r>
        <w:separator/>
      </w:r>
    </w:p>
  </w:endnote>
  <w:endnote w:type="continuationSeparator" w:id="0">
    <w:p w:rsidR="00BA0481" w:rsidRDefault="00BA0481" w:rsidP="0002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81" w:rsidRDefault="00BA0481" w:rsidP="000228C4">
      <w:r>
        <w:separator/>
      </w:r>
    </w:p>
  </w:footnote>
  <w:footnote w:type="continuationSeparator" w:id="0">
    <w:p w:rsidR="00BA0481" w:rsidRDefault="00BA0481" w:rsidP="000228C4">
      <w:r>
        <w:continuationSeparator/>
      </w:r>
    </w:p>
  </w:footnote>
  <w:footnote w:id="1">
    <w:p w:rsidR="000228C4" w:rsidRPr="00AB1BD1" w:rsidRDefault="000228C4" w:rsidP="000228C4">
      <w:pPr>
        <w:pStyle w:val="a3"/>
        <w:ind w:right="-284"/>
        <w:rPr>
          <w:sz w:val="12"/>
          <w:szCs w:val="12"/>
          <w:rtl/>
        </w:rPr>
      </w:pPr>
    </w:p>
  </w:footnote>
  <w:footnote w:id="2">
    <w:p w:rsidR="000228C4" w:rsidRPr="00AB1BD1" w:rsidRDefault="000228C4" w:rsidP="000228C4">
      <w:pPr>
        <w:pStyle w:val="a3"/>
        <w:ind w:right="-284"/>
        <w:rPr>
          <w:sz w:val="12"/>
          <w:szCs w:val="12"/>
          <w:rtl/>
        </w:rPr>
      </w:pPr>
    </w:p>
  </w:footnote>
  <w:footnote w:id="3">
    <w:p w:rsidR="000228C4" w:rsidRPr="00AB1BD1" w:rsidRDefault="000228C4" w:rsidP="000228C4">
      <w:pPr>
        <w:pStyle w:val="a3"/>
        <w:ind w:right="-284"/>
        <w:rPr>
          <w:sz w:val="12"/>
          <w:szCs w:val="12"/>
          <w:rtl/>
        </w:rPr>
      </w:pPr>
    </w:p>
  </w:footnote>
  <w:footnote w:id="4">
    <w:p w:rsidR="000228C4" w:rsidRPr="000228C4" w:rsidRDefault="000228C4" w:rsidP="000228C4">
      <w:pPr>
        <w:pStyle w:val="a3"/>
        <w:ind w:right="-284"/>
        <w:rPr>
          <w:sz w:val="12"/>
          <w:szCs w:val="12"/>
          <w:rtl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4D3D"/>
    <w:multiLevelType w:val="hybridMultilevel"/>
    <w:tmpl w:val="C0643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C7809"/>
    <w:multiLevelType w:val="hybridMultilevel"/>
    <w:tmpl w:val="767E1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74767"/>
    <w:multiLevelType w:val="hybridMultilevel"/>
    <w:tmpl w:val="A12EF37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75877A5"/>
    <w:multiLevelType w:val="hybridMultilevel"/>
    <w:tmpl w:val="CBA888D8"/>
    <w:lvl w:ilvl="0" w:tplc="3B848B12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C4"/>
    <w:rsid w:val="000228C4"/>
    <w:rsid w:val="000C55F3"/>
    <w:rsid w:val="000D2A59"/>
    <w:rsid w:val="00110177"/>
    <w:rsid w:val="001F2CC8"/>
    <w:rsid w:val="00284B8D"/>
    <w:rsid w:val="003355A4"/>
    <w:rsid w:val="004472A3"/>
    <w:rsid w:val="00497F95"/>
    <w:rsid w:val="004F4AAE"/>
    <w:rsid w:val="006D4C59"/>
    <w:rsid w:val="007B6EA7"/>
    <w:rsid w:val="007F49DC"/>
    <w:rsid w:val="00957BDF"/>
    <w:rsid w:val="00BA0481"/>
    <w:rsid w:val="00D54814"/>
    <w:rsid w:val="00E4135F"/>
    <w:rsid w:val="00E4334D"/>
    <w:rsid w:val="00EE4362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C4"/>
    <w:pPr>
      <w:bidi/>
      <w:spacing w:after="0" w:line="240" w:lineRule="auto"/>
    </w:pPr>
    <w:rPr>
      <w:rFonts w:ascii="Arial" w:eastAsia="Times New Roman" w:hAnsi="Arial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228C4"/>
    <w:rPr>
      <w:rFonts w:ascii="Times New Roman" w:hAnsi="Times New Roman" w:cs="Times New Roman"/>
      <w:sz w:val="20"/>
      <w:szCs w:val="20"/>
      <w:lang w:eastAsia="he-IL"/>
    </w:rPr>
  </w:style>
  <w:style w:type="character" w:customStyle="1" w:styleId="a4">
    <w:name w:val="טקסט הערת שוליים תו"/>
    <w:basedOn w:val="a0"/>
    <w:link w:val="a3"/>
    <w:rsid w:val="000228C4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5">
    <w:name w:val="footnote reference"/>
    <w:rsid w:val="000228C4"/>
    <w:rPr>
      <w:vertAlign w:val="superscript"/>
    </w:rPr>
  </w:style>
  <w:style w:type="paragraph" w:styleId="a6">
    <w:name w:val="List Paragraph"/>
    <w:basedOn w:val="a"/>
    <w:uiPriority w:val="34"/>
    <w:qFormat/>
    <w:rsid w:val="006D4C59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C4"/>
    <w:pPr>
      <w:bidi/>
      <w:spacing w:after="0" w:line="240" w:lineRule="auto"/>
    </w:pPr>
    <w:rPr>
      <w:rFonts w:ascii="Arial" w:eastAsia="Times New Roman" w:hAnsi="Arial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228C4"/>
    <w:rPr>
      <w:rFonts w:ascii="Times New Roman" w:hAnsi="Times New Roman" w:cs="Times New Roman"/>
      <w:sz w:val="20"/>
      <w:szCs w:val="20"/>
      <w:lang w:eastAsia="he-IL"/>
    </w:rPr>
  </w:style>
  <w:style w:type="character" w:customStyle="1" w:styleId="a4">
    <w:name w:val="טקסט הערת שוליים תו"/>
    <w:basedOn w:val="a0"/>
    <w:link w:val="a3"/>
    <w:rsid w:val="000228C4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5">
    <w:name w:val="footnote reference"/>
    <w:rsid w:val="000228C4"/>
    <w:rPr>
      <w:vertAlign w:val="superscript"/>
    </w:rPr>
  </w:style>
  <w:style w:type="paragraph" w:styleId="a6">
    <w:name w:val="List Paragraph"/>
    <w:basedOn w:val="a"/>
    <w:uiPriority w:val="34"/>
    <w:qFormat/>
    <w:rsid w:val="006D4C59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42DA1-AFF2-4589-8326-643FDF45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2018-05-03T08:35:00Z</dcterms:created>
  <dcterms:modified xsi:type="dcterms:W3CDTF">2018-05-03T08:40:00Z</dcterms:modified>
</cp:coreProperties>
</file>